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A5" w:rsidRPr="00985C2E" w:rsidRDefault="00117C1C" w:rsidP="00EA1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930DA5" w:rsidRPr="00985C2E" w:rsidRDefault="00117C1C" w:rsidP="00EA1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 xml:space="preserve">к организации и проведению школьного этапа </w:t>
      </w:r>
    </w:p>
    <w:p w:rsidR="00117C1C" w:rsidRPr="00985C2E" w:rsidRDefault="00985C2E" w:rsidP="00EA1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>в</w:t>
      </w:r>
      <w:r w:rsidR="00117C1C" w:rsidRPr="00985C2E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 географии</w:t>
      </w:r>
      <w:r w:rsidR="006160E2" w:rsidRPr="00985C2E">
        <w:rPr>
          <w:rFonts w:ascii="Times New Roman" w:hAnsi="Times New Roman" w:cs="Times New Roman"/>
          <w:b/>
          <w:sz w:val="24"/>
          <w:szCs w:val="24"/>
        </w:rPr>
        <w:t xml:space="preserve"> в 2019-2020 учебном году </w:t>
      </w:r>
    </w:p>
    <w:p w:rsidR="00EA17CC" w:rsidRPr="00985C2E" w:rsidRDefault="00EA17CC" w:rsidP="00EA1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C1C" w:rsidRPr="00985C2E" w:rsidRDefault="00117C1C" w:rsidP="001A3D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Настоящие требовани</w:t>
      </w:r>
      <w:r w:rsidR="00930DA5" w:rsidRPr="00985C2E">
        <w:rPr>
          <w:rFonts w:ascii="Times New Roman" w:hAnsi="Times New Roman" w:cs="Times New Roman"/>
          <w:sz w:val="24"/>
          <w:szCs w:val="24"/>
        </w:rPr>
        <w:t>я к проведению школьного этапа В</w:t>
      </w:r>
      <w:r w:rsidRPr="00985C2E">
        <w:rPr>
          <w:rFonts w:ascii="Times New Roman" w:hAnsi="Times New Roman" w:cs="Times New Roman"/>
          <w:sz w:val="24"/>
          <w:szCs w:val="24"/>
        </w:rPr>
        <w:t>сероссийской олимпиады школьников (далее – Олимпиада) по географии составлены н</w:t>
      </w:r>
      <w:r w:rsidR="00930DA5" w:rsidRPr="00985C2E">
        <w:rPr>
          <w:rFonts w:ascii="Times New Roman" w:hAnsi="Times New Roman" w:cs="Times New Roman"/>
          <w:sz w:val="24"/>
          <w:szCs w:val="24"/>
        </w:rPr>
        <w:t>а основе Порядка проведения В</w:t>
      </w:r>
      <w:r w:rsidRPr="00985C2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утвержденного приказом Министерства образования и науки Российской </w:t>
      </w:r>
      <w:r w:rsidR="00985C2E">
        <w:rPr>
          <w:rFonts w:ascii="Times New Roman" w:hAnsi="Times New Roman" w:cs="Times New Roman"/>
          <w:sz w:val="24"/>
          <w:szCs w:val="24"/>
        </w:rPr>
        <w:t>Федерации (Минобрнауки России).</w:t>
      </w:r>
    </w:p>
    <w:p w:rsidR="00DC7F02" w:rsidRPr="00985C2E" w:rsidRDefault="00117C1C" w:rsidP="00DC7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2E">
        <w:rPr>
          <w:rFonts w:ascii="Times New Roman" w:hAnsi="Times New Roman" w:cs="Times New Roman"/>
          <w:sz w:val="24"/>
          <w:szCs w:val="24"/>
        </w:rPr>
        <w:t>Данные требования включают в себя характеристику особенностей школьного этапа Олимпиады,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рассмотрение апелляций участников Олимпи</w:t>
      </w:r>
      <w:r w:rsidR="00985C2E">
        <w:rPr>
          <w:rFonts w:ascii="Times New Roman" w:hAnsi="Times New Roman" w:cs="Times New Roman"/>
          <w:sz w:val="24"/>
          <w:szCs w:val="24"/>
        </w:rPr>
        <w:t>ады.</w:t>
      </w:r>
      <w:proofErr w:type="gramEnd"/>
    </w:p>
    <w:p w:rsidR="00117C1C" w:rsidRPr="00985C2E" w:rsidRDefault="00117C1C" w:rsidP="00DC7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Школьный этап Олимпиады по географии проводится по заданиям, разработанным муниципальной предметно-методической комиссией.</w:t>
      </w:r>
    </w:p>
    <w:p w:rsidR="00117C1C" w:rsidRPr="00985C2E" w:rsidRDefault="00117C1C" w:rsidP="00DC7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На школьном этапе Олимпиады по географии на добровольной основе принимают индивидуальное участие обучающиеся 5-11 классов. Задания разработаны дл</w:t>
      </w:r>
      <w:r w:rsidR="00930DA5" w:rsidRPr="00985C2E">
        <w:rPr>
          <w:rFonts w:ascii="Times New Roman" w:hAnsi="Times New Roman" w:cs="Times New Roman"/>
          <w:sz w:val="24"/>
          <w:szCs w:val="24"/>
        </w:rPr>
        <w:t xml:space="preserve">я </w:t>
      </w:r>
      <w:r w:rsidRPr="00985C2E">
        <w:rPr>
          <w:rFonts w:ascii="Times New Roman" w:hAnsi="Times New Roman" w:cs="Times New Roman"/>
          <w:sz w:val="24"/>
          <w:szCs w:val="24"/>
        </w:rPr>
        <w:t xml:space="preserve"> возрастных параллелей: 5, 6, 7, 8, 9, 10, 11 классов.</w:t>
      </w:r>
    </w:p>
    <w:p w:rsidR="00930DA5" w:rsidRPr="00985C2E" w:rsidRDefault="00117C1C" w:rsidP="00985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Школьный этап Олимпиады по географии проводится в один тур</w:t>
      </w:r>
      <w:r w:rsidR="005051B1" w:rsidRPr="00985C2E">
        <w:rPr>
          <w:rFonts w:ascii="Times New Roman" w:hAnsi="Times New Roman" w:cs="Times New Roman"/>
          <w:sz w:val="24"/>
          <w:szCs w:val="24"/>
        </w:rPr>
        <w:t xml:space="preserve"> (включает в себя задания тестового и аналитического туров)</w:t>
      </w:r>
      <w:r w:rsidRPr="00985C2E">
        <w:rPr>
          <w:rFonts w:ascii="Times New Roman" w:hAnsi="Times New Roman" w:cs="Times New Roman"/>
          <w:sz w:val="24"/>
          <w:szCs w:val="24"/>
        </w:rPr>
        <w:t xml:space="preserve">. Продолжительность Олимпиады по географии для всех возрастных параллелей </w:t>
      </w:r>
      <w:r w:rsidR="004E6293" w:rsidRPr="00985C2E">
        <w:rPr>
          <w:rFonts w:ascii="Times New Roman" w:hAnsi="Times New Roman" w:cs="Times New Roman"/>
          <w:sz w:val="24"/>
          <w:szCs w:val="24"/>
        </w:rPr>
        <w:t>90</w:t>
      </w:r>
      <w:r w:rsidR="00EC37CF" w:rsidRPr="00985C2E">
        <w:rPr>
          <w:rFonts w:ascii="Times New Roman" w:hAnsi="Times New Roman" w:cs="Times New Roman"/>
          <w:sz w:val="24"/>
          <w:szCs w:val="24"/>
        </w:rPr>
        <w:t xml:space="preserve"> </w:t>
      </w:r>
      <w:r w:rsidRPr="00985C2E">
        <w:rPr>
          <w:rFonts w:ascii="Times New Roman" w:hAnsi="Times New Roman" w:cs="Times New Roman"/>
          <w:sz w:val="24"/>
          <w:szCs w:val="24"/>
        </w:rPr>
        <w:t>– 1</w:t>
      </w:r>
      <w:r w:rsidR="00EC37CF" w:rsidRPr="00985C2E">
        <w:rPr>
          <w:rFonts w:ascii="Times New Roman" w:hAnsi="Times New Roman" w:cs="Times New Roman"/>
          <w:sz w:val="24"/>
          <w:szCs w:val="24"/>
        </w:rPr>
        <w:t>80</w:t>
      </w:r>
      <w:r w:rsidRPr="00985C2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Порядка и (или) настоящих требований к организации и проведению школьного этапа Олимпиады, представитель организатора вправе удалить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</w:t>
      </w:r>
      <w:r w:rsidR="00985C2E">
        <w:rPr>
          <w:rFonts w:ascii="Times New Roman" w:hAnsi="Times New Roman" w:cs="Times New Roman"/>
          <w:sz w:val="24"/>
          <w:szCs w:val="24"/>
        </w:rPr>
        <w:t>льному предмету в текущем году.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Итог</w:t>
      </w:r>
      <w:r w:rsidR="00930DA5" w:rsidRPr="00985C2E">
        <w:rPr>
          <w:rFonts w:ascii="Times New Roman" w:hAnsi="Times New Roman" w:cs="Times New Roman"/>
          <w:sz w:val="24"/>
          <w:szCs w:val="24"/>
        </w:rPr>
        <w:t xml:space="preserve">и школьного этапа </w:t>
      </w:r>
      <w:r w:rsidRPr="00985C2E">
        <w:rPr>
          <w:rFonts w:ascii="Times New Roman" w:hAnsi="Times New Roman" w:cs="Times New Roman"/>
          <w:sz w:val="24"/>
          <w:szCs w:val="24"/>
        </w:rPr>
        <w:t>Олимпиады школьников по географии подводятся в каждой возрастной параллели отдельно, н</w:t>
      </w:r>
      <w:r w:rsidR="00985C2E">
        <w:rPr>
          <w:rFonts w:ascii="Times New Roman" w:hAnsi="Times New Roman" w:cs="Times New Roman"/>
          <w:sz w:val="24"/>
          <w:szCs w:val="24"/>
        </w:rPr>
        <w:t>езависимо от комплекта заданий.</w:t>
      </w:r>
    </w:p>
    <w:p w:rsidR="00117C1C" w:rsidRPr="00985C2E" w:rsidRDefault="00117C1C" w:rsidP="001A3D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>Принципы составления и формирования комплектов олимпиадных заданий</w:t>
      </w:r>
      <w:r w:rsidR="001A3D2B" w:rsidRPr="00985C2E">
        <w:rPr>
          <w:rFonts w:ascii="Times New Roman" w:hAnsi="Times New Roman" w:cs="Times New Roman"/>
          <w:b/>
          <w:sz w:val="24"/>
          <w:szCs w:val="24"/>
        </w:rPr>
        <w:t>.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Задания школьного этапа Олимпиады по географии составлены с учетом методических рекомендаций Центральной предметно-методической комиссии всероссийской Олимпиады школьников по географии.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2E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8C73F5" w:rsidRPr="00985C2E">
        <w:rPr>
          <w:rFonts w:ascii="Times New Roman" w:hAnsi="Times New Roman" w:cs="Times New Roman"/>
          <w:sz w:val="24"/>
          <w:szCs w:val="24"/>
        </w:rPr>
        <w:t>аналитического</w:t>
      </w:r>
      <w:r w:rsidRPr="00985C2E">
        <w:rPr>
          <w:rFonts w:ascii="Times New Roman" w:hAnsi="Times New Roman" w:cs="Times New Roman"/>
          <w:sz w:val="24"/>
          <w:szCs w:val="24"/>
        </w:rPr>
        <w:t xml:space="preserve"> тура: - задания отличаются от обычной контрольной работы по географии и включают в себя творческие задания; - в комплекты заданий включены вопросы по разделам географии, уже изученным к моменту проведения Олимпиады; - в комплекте заданий для каждого класса задачи и элементы задач различаются по сложности; - в задания включены термины и понятия, знакомые обучающимся конкретной возрастной категории;</w:t>
      </w:r>
      <w:proofErr w:type="gramEnd"/>
      <w:r w:rsidRPr="00985C2E">
        <w:rPr>
          <w:rFonts w:ascii="Times New Roman" w:hAnsi="Times New Roman" w:cs="Times New Roman"/>
          <w:sz w:val="24"/>
          <w:szCs w:val="24"/>
        </w:rPr>
        <w:t xml:space="preserve"> - при составлении заданий использовано </w:t>
      </w:r>
      <w:r w:rsidR="00985C2E">
        <w:rPr>
          <w:rFonts w:ascii="Times New Roman" w:hAnsi="Times New Roman" w:cs="Times New Roman"/>
          <w:sz w:val="24"/>
          <w:szCs w:val="24"/>
        </w:rPr>
        <w:t>несколько различных источников.</w:t>
      </w:r>
    </w:p>
    <w:p w:rsidR="00930DA5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Тестовые задания: В предложенных материалах используются тестовые задания закрытого и открытого типов, при этом большая часть тестовых заданий - закрытого типа. Тестовые задания закрытого типа предусматривают несколько вариантов ответов на поставленный вопрос, среди которых лишь один является правильным. Один из видов закрытых тестовых заданий – задания множественного выбора, которые предполагают наличие вариативности в выборе. Другим видом закрытых тестовых заданий являются задания на восстановление соответствия. Еще одним видом закрытых тестовых заданий являются задания на восстановление последовательности. К тестовым заданиям открытого типа относятся задания двух видов. Первый вид открытых тестовых заданий – задания-дополнения. Второй вид открытых тестовых заданий – задания свободного изложения или свободного конструирования. Они предполагают свободные отв</w:t>
      </w:r>
      <w:r w:rsidR="00985C2E">
        <w:rPr>
          <w:rFonts w:ascii="Times New Roman" w:hAnsi="Times New Roman" w:cs="Times New Roman"/>
          <w:sz w:val="24"/>
          <w:szCs w:val="24"/>
        </w:rPr>
        <w:t>еты участников по сути задания.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lastRenderedPageBreak/>
        <w:t xml:space="preserve">Набор заданий включает следующие типы задач, ориентированных на выявление у обучающихся различных навыков: - задачи на пространственный анализ – знание особенностей расположения различных географических объектов, специфики формирования пространственного рисунка распространения различных природных явлений; - задачи на распознавание образов территорий (например, по изображениям на фотографиях и репродукциях картин, фрагментам художественных произведений, документальным фрагментам); - </w:t>
      </w:r>
      <w:proofErr w:type="gramStart"/>
      <w:r w:rsidRPr="00985C2E">
        <w:rPr>
          <w:rFonts w:ascii="Times New Roman" w:hAnsi="Times New Roman" w:cs="Times New Roman"/>
          <w:sz w:val="24"/>
          <w:szCs w:val="24"/>
        </w:rPr>
        <w:t xml:space="preserve">задачи на определение логических цепочек и причинно-следственных связей (например, взаимосвязей компонентов ландшафта, их зависимость от </w:t>
      </w:r>
      <w:proofErr w:type="spellStart"/>
      <w:r w:rsidRPr="00985C2E">
        <w:rPr>
          <w:rFonts w:ascii="Times New Roman" w:hAnsi="Times New Roman" w:cs="Times New Roman"/>
          <w:sz w:val="24"/>
          <w:szCs w:val="24"/>
        </w:rPr>
        <w:t>общепланетарных</w:t>
      </w:r>
      <w:proofErr w:type="spellEnd"/>
      <w:r w:rsidRPr="00985C2E">
        <w:rPr>
          <w:rFonts w:ascii="Times New Roman" w:hAnsi="Times New Roman" w:cs="Times New Roman"/>
          <w:sz w:val="24"/>
          <w:szCs w:val="24"/>
        </w:rPr>
        <w:t xml:space="preserve"> и региональных географических закономерностей); - задачи на сопоставление (перебор, выборку в соответствии с заданными критериями) различных географических объектов, территорий, стран и т.п. задачи на классификацию географических объектов, приборов, понятий и т.п. - задачи картографического (в том числе,</w:t>
      </w:r>
      <w:r w:rsidR="00985C2E">
        <w:rPr>
          <w:rFonts w:ascii="Times New Roman" w:hAnsi="Times New Roman" w:cs="Times New Roman"/>
          <w:sz w:val="24"/>
          <w:szCs w:val="24"/>
        </w:rPr>
        <w:t xml:space="preserve"> картометрического) содержания.</w:t>
      </w:r>
      <w:proofErr w:type="gramEnd"/>
    </w:p>
    <w:p w:rsidR="00117C1C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При составлении заданий на знание фактического материала используется алгоритм задач типа «определи страну/территорию и ее соседей». При решении картографических задач, предполагающих анализ участниками фрагмента географической карты, аэрофотоснимка, космического снимка, плана города участники Олимпиады должны показать умение «считывать» с исходного изображения информацию о природных и социально-экономических объе</w:t>
      </w:r>
      <w:r w:rsidR="00C24DF7" w:rsidRPr="00985C2E">
        <w:rPr>
          <w:rFonts w:ascii="Times New Roman" w:hAnsi="Times New Roman" w:cs="Times New Roman"/>
          <w:sz w:val="24"/>
          <w:szCs w:val="24"/>
        </w:rPr>
        <w:t>ктах. Решение демографических задач</w:t>
      </w:r>
      <w:bookmarkStart w:id="0" w:name="_GoBack"/>
      <w:bookmarkEnd w:id="0"/>
      <w:r w:rsidRPr="00985C2E">
        <w:rPr>
          <w:rFonts w:ascii="Times New Roman" w:hAnsi="Times New Roman" w:cs="Times New Roman"/>
          <w:sz w:val="24"/>
          <w:szCs w:val="24"/>
        </w:rPr>
        <w:t>.</w:t>
      </w:r>
    </w:p>
    <w:p w:rsidR="00985C2E" w:rsidRPr="00985C2E" w:rsidRDefault="00985C2E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C1C" w:rsidRPr="00985C2E" w:rsidRDefault="00117C1C" w:rsidP="001A3D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>Описание необходимого материально-технического обеспечения для выполнения олимпиадных заданий</w:t>
      </w:r>
      <w:r w:rsidR="008C73F5" w:rsidRPr="00985C2E">
        <w:rPr>
          <w:rFonts w:ascii="Times New Roman" w:hAnsi="Times New Roman" w:cs="Times New Roman"/>
          <w:b/>
          <w:sz w:val="24"/>
          <w:szCs w:val="24"/>
        </w:rPr>
        <w:t>, перечень материалов, разрешенных к использованию</w:t>
      </w:r>
    </w:p>
    <w:p w:rsidR="00117C1C" w:rsidRPr="00985C2E" w:rsidRDefault="005051B1" w:rsidP="00DC7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П</w:t>
      </w:r>
      <w:r w:rsidR="00117C1C" w:rsidRPr="00985C2E">
        <w:rPr>
          <w:rFonts w:ascii="Times New Roman" w:hAnsi="Times New Roman" w:cs="Times New Roman"/>
          <w:sz w:val="24"/>
          <w:szCs w:val="24"/>
        </w:rPr>
        <w:t>ри проведении Олимпиады каждому участнику должно быть предоставлено отдельное рабочее место, оборудованное в соответствии с настоящими требованиями к проведению школьного этапа Олимпиады по географии. Все рабочие места участников Олимпиады должны обеспечивать участникам Олимпиады равные условия. Каждый обучающийся обеспечивается рабочим местом (за партой или столом) в соответствии с его ростом. Для рассадки участников могут быть использованы различные виды ученической мебели: школьная парта, столы ученические (одноместные и двухместные), столы аудиторные. Табуретки или скамейки вместо стульев не используются. Для каждого участника необходимо подготовить бланки заданий, листы ответов; письменные принадлежности, линейки, транспортиры, непрограммируемые калькуляторы</w:t>
      </w:r>
      <w:r w:rsidR="008C73F5" w:rsidRPr="00985C2E">
        <w:rPr>
          <w:rFonts w:ascii="Times New Roman" w:hAnsi="Times New Roman" w:cs="Times New Roman"/>
          <w:sz w:val="24"/>
          <w:szCs w:val="24"/>
        </w:rPr>
        <w:t>.</w:t>
      </w:r>
    </w:p>
    <w:p w:rsidR="00117C1C" w:rsidRDefault="00117C1C" w:rsidP="005051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 xml:space="preserve">Участникам школьного этапа Олимпиады запрещено пользоваться во время выполнения заданий справочной литературой, учебниками, любыми электронными устройствами, служащими для передачи, получения или накопления информации. </w:t>
      </w:r>
      <w:r w:rsidR="008C73F5" w:rsidRPr="00985C2E">
        <w:rPr>
          <w:rFonts w:ascii="Times New Roman" w:hAnsi="Times New Roman" w:cs="Times New Roman"/>
          <w:sz w:val="24"/>
          <w:szCs w:val="24"/>
        </w:rPr>
        <w:t>При ответах на вопросы тестового тура и заданий аналитического тура запрещается пользоваться географическими картами, атласами, словарями и справочными материалами.</w:t>
      </w:r>
    </w:p>
    <w:p w:rsidR="00985C2E" w:rsidRPr="00985C2E" w:rsidRDefault="00985C2E" w:rsidP="005051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C1C" w:rsidRPr="00985C2E" w:rsidRDefault="00117C1C" w:rsidP="001A3D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>Критерии и методики оценивания выполненных олимпиадных заданий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 xml:space="preserve">Для задач </w:t>
      </w:r>
      <w:r w:rsidR="005051B1" w:rsidRPr="00985C2E">
        <w:rPr>
          <w:rFonts w:ascii="Times New Roman" w:hAnsi="Times New Roman" w:cs="Times New Roman"/>
          <w:sz w:val="24"/>
          <w:szCs w:val="24"/>
        </w:rPr>
        <w:t>аналитического</w:t>
      </w:r>
      <w:r w:rsidRPr="00985C2E">
        <w:rPr>
          <w:rFonts w:ascii="Times New Roman" w:hAnsi="Times New Roman" w:cs="Times New Roman"/>
          <w:sz w:val="24"/>
          <w:szCs w:val="24"/>
        </w:rPr>
        <w:t xml:space="preserve"> тура определяется одинаковое максимально возможное количество баллов за полностью правильный ответ. Если задания </w:t>
      </w:r>
      <w:r w:rsidR="005051B1" w:rsidRPr="00985C2E">
        <w:rPr>
          <w:rFonts w:ascii="Times New Roman" w:hAnsi="Times New Roman" w:cs="Times New Roman"/>
          <w:sz w:val="24"/>
          <w:szCs w:val="24"/>
        </w:rPr>
        <w:t>аналитического</w:t>
      </w:r>
      <w:r w:rsidRPr="00985C2E">
        <w:rPr>
          <w:rFonts w:ascii="Times New Roman" w:hAnsi="Times New Roman" w:cs="Times New Roman"/>
          <w:sz w:val="24"/>
          <w:szCs w:val="24"/>
        </w:rPr>
        <w:t xml:space="preserve"> тура имеют разный уровень сложности, то они могут быть оценены разным максимальн</w:t>
      </w:r>
      <w:r w:rsidR="00985C2E">
        <w:rPr>
          <w:rFonts w:ascii="Times New Roman" w:hAnsi="Times New Roman" w:cs="Times New Roman"/>
          <w:sz w:val="24"/>
          <w:szCs w:val="24"/>
        </w:rPr>
        <w:t>о возможным количеством баллов.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При проверке недопустимо снятие баллов за слишком длинный или короткий ответ. Любые исправления в работе, в том числе зачеркивание ранее написанного текста, не являются основанием для снятия баллов; как и неаккуратность записи решений при выпол</w:t>
      </w:r>
      <w:r w:rsidR="00985C2E">
        <w:rPr>
          <w:rFonts w:ascii="Times New Roman" w:hAnsi="Times New Roman" w:cs="Times New Roman"/>
          <w:sz w:val="24"/>
          <w:szCs w:val="24"/>
        </w:rPr>
        <w:t>нении задания.</w:t>
      </w:r>
    </w:p>
    <w:p w:rsidR="00117C1C" w:rsidRPr="00985C2E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За правильные ответы тестового тура рекомендуется начислять участнику 0,2</w:t>
      </w:r>
      <w:r w:rsidR="004E6293" w:rsidRPr="00985C2E">
        <w:rPr>
          <w:rFonts w:ascii="Times New Roman" w:hAnsi="Times New Roman" w:cs="Times New Roman"/>
          <w:sz w:val="24"/>
          <w:szCs w:val="24"/>
        </w:rPr>
        <w:t>5-2</w:t>
      </w:r>
      <w:r w:rsidRPr="00985C2E">
        <w:rPr>
          <w:rFonts w:ascii="Times New Roman" w:hAnsi="Times New Roman" w:cs="Times New Roman"/>
          <w:sz w:val="24"/>
          <w:szCs w:val="24"/>
        </w:rPr>
        <w:t xml:space="preserve"> балл</w:t>
      </w:r>
      <w:r w:rsidR="004E6293" w:rsidRPr="00985C2E">
        <w:rPr>
          <w:rFonts w:ascii="Times New Roman" w:hAnsi="Times New Roman" w:cs="Times New Roman"/>
          <w:sz w:val="24"/>
          <w:szCs w:val="24"/>
        </w:rPr>
        <w:t>а</w:t>
      </w:r>
      <w:r w:rsidR="00985C2E">
        <w:rPr>
          <w:rFonts w:ascii="Times New Roman" w:hAnsi="Times New Roman" w:cs="Times New Roman"/>
          <w:sz w:val="24"/>
          <w:szCs w:val="24"/>
        </w:rPr>
        <w:t>.</w:t>
      </w:r>
    </w:p>
    <w:p w:rsidR="00117C1C" w:rsidRDefault="00117C1C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Проверка работ участников Олимпиады осуществляется согласно</w:t>
      </w:r>
      <w:r w:rsidR="00985C2E">
        <w:rPr>
          <w:rFonts w:ascii="Times New Roman" w:hAnsi="Times New Roman" w:cs="Times New Roman"/>
          <w:sz w:val="24"/>
          <w:szCs w:val="24"/>
        </w:rPr>
        <w:t xml:space="preserve"> следующей методике оценивания:</w:t>
      </w:r>
    </w:p>
    <w:p w:rsidR="00985C2E" w:rsidRPr="00985C2E" w:rsidRDefault="00985C2E" w:rsidP="001A3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0" w:type="dxa"/>
        <w:tblInd w:w="-5" w:type="dxa"/>
        <w:tblLook w:val="04A0"/>
      </w:tblPr>
      <w:tblGrid>
        <w:gridCol w:w="822"/>
        <w:gridCol w:w="1499"/>
        <w:gridCol w:w="1955"/>
        <w:gridCol w:w="1499"/>
        <w:gridCol w:w="1955"/>
        <w:gridCol w:w="1955"/>
      </w:tblGrid>
      <w:tr w:rsidR="004E6293" w:rsidRPr="00985C2E" w:rsidTr="004E6293">
        <w:tc>
          <w:tcPr>
            <w:tcW w:w="939" w:type="dxa"/>
            <w:vMerge w:val="restart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03" w:type="dxa"/>
            <w:gridSpan w:val="2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тур</w:t>
            </w:r>
          </w:p>
        </w:tc>
        <w:tc>
          <w:tcPr>
            <w:tcW w:w="3298" w:type="dxa"/>
            <w:gridSpan w:val="2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тур</w:t>
            </w:r>
          </w:p>
        </w:tc>
        <w:tc>
          <w:tcPr>
            <w:tcW w:w="1810" w:type="dxa"/>
            <w:vMerge w:val="restart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4E6293" w:rsidRPr="00985C2E" w:rsidTr="004E6293">
        <w:tc>
          <w:tcPr>
            <w:tcW w:w="939" w:type="dxa"/>
            <w:vMerge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0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10" w:type="dxa"/>
            <w:vMerge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293" w:rsidRPr="00985C2E" w:rsidTr="004E6293">
        <w:tc>
          <w:tcPr>
            <w:tcW w:w="939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15 (0,25-1 балл)</w:t>
            </w:r>
          </w:p>
        </w:tc>
        <w:tc>
          <w:tcPr>
            <w:tcW w:w="1404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85 (2-27баллов)</w:t>
            </w:r>
          </w:p>
        </w:tc>
        <w:tc>
          <w:tcPr>
            <w:tcW w:w="1810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  <w:tr w:rsidR="004E6293" w:rsidRPr="00985C2E" w:rsidTr="004E6293">
        <w:tc>
          <w:tcPr>
            <w:tcW w:w="939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09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35 (1-2 балла)</w:t>
            </w:r>
          </w:p>
        </w:tc>
        <w:tc>
          <w:tcPr>
            <w:tcW w:w="1404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4E6293" w:rsidRPr="00985C2E" w:rsidRDefault="00A1399B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65 (3-21 баллов</w:t>
            </w:r>
            <w:r w:rsidR="004E6293" w:rsidRPr="00985C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  <w:tr w:rsidR="004E6293" w:rsidRPr="00985C2E" w:rsidTr="004E6293">
        <w:tc>
          <w:tcPr>
            <w:tcW w:w="939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30 (0,5-2 балла)</w:t>
            </w:r>
          </w:p>
        </w:tc>
        <w:tc>
          <w:tcPr>
            <w:tcW w:w="1404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4E6293" w:rsidRPr="00985C2E" w:rsidRDefault="00A1399B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70 (1-21баллов</w:t>
            </w:r>
            <w:r w:rsidR="004E6293" w:rsidRPr="00985C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  <w:tr w:rsidR="004E6293" w:rsidRPr="00985C2E" w:rsidTr="004E6293">
        <w:tc>
          <w:tcPr>
            <w:tcW w:w="939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30 (0,5-2 балла)</w:t>
            </w:r>
          </w:p>
        </w:tc>
        <w:tc>
          <w:tcPr>
            <w:tcW w:w="1404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4E6293" w:rsidRPr="00985C2E" w:rsidRDefault="00A1399B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70 (2</w:t>
            </w:r>
            <w:r w:rsidR="004E6293" w:rsidRPr="00985C2E">
              <w:rPr>
                <w:rFonts w:ascii="Times New Roman" w:hAnsi="Times New Roman" w:cs="Times New Roman"/>
                <w:sz w:val="24"/>
                <w:szCs w:val="24"/>
              </w:rPr>
              <w:t>-30 баллов)</w:t>
            </w:r>
          </w:p>
        </w:tc>
        <w:tc>
          <w:tcPr>
            <w:tcW w:w="1810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  <w:tr w:rsidR="004E6293" w:rsidRPr="00985C2E" w:rsidTr="004E6293">
        <w:tc>
          <w:tcPr>
            <w:tcW w:w="939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30 (0,25-1 балл)</w:t>
            </w:r>
          </w:p>
        </w:tc>
        <w:tc>
          <w:tcPr>
            <w:tcW w:w="1404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4E6293" w:rsidRPr="00985C2E" w:rsidRDefault="00A1399B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70 (1</w:t>
            </w:r>
            <w:r w:rsidR="004E6293" w:rsidRPr="00985C2E">
              <w:rPr>
                <w:rFonts w:ascii="Times New Roman" w:hAnsi="Times New Roman" w:cs="Times New Roman"/>
                <w:sz w:val="24"/>
                <w:szCs w:val="24"/>
              </w:rPr>
              <w:t>-15 баллов)</w:t>
            </w:r>
          </w:p>
        </w:tc>
        <w:tc>
          <w:tcPr>
            <w:tcW w:w="1810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  <w:tr w:rsidR="004E6293" w:rsidRPr="00985C2E" w:rsidTr="004E6293">
        <w:tc>
          <w:tcPr>
            <w:tcW w:w="939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9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30 (1 балл)</w:t>
            </w:r>
          </w:p>
        </w:tc>
        <w:tc>
          <w:tcPr>
            <w:tcW w:w="1404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4E6293" w:rsidRPr="00985C2E" w:rsidRDefault="00725CC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70 (2</w:t>
            </w:r>
            <w:r w:rsidR="004E6293" w:rsidRPr="00985C2E">
              <w:rPr>
                <w:rFonts w:ascii="Times New Roman" w:hAnsi="Times New Roman" w:cs="Times New Roman"/>
                <w:sz w:val="24"/>
                <w:szCs w:val="24"/>
              </w:rPr>
              <w:t>-50 баллов)</w:t>
            </w:r>
          </w:p>
        </w:tc>
        <w:tc>
          <w:tcPr>
            <w:tcW w:w="1810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  <w:tr w:rsidR="004E6293" w:rsidRPr="00985C2E" w:rsidTr="004E6293">
        <w:tc>
          <w:tcPr>
            <w:tcW w:w="939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9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30 (0,1-1 балл)</w:t>
            </w:r>
          </w:p>
        </w:tc>
        <w:tc>
          <w:tcPr>
            <w:tcW w:w="1404" w:type="dxa"/>
          </w:tcPr>
          <w:p w:rsidR="004E6293" w:rsidRPr="00985C2E" w:rsidRDefault="004E6293" w:rsidP="009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4E6293" w:rsidRPr="00985C2E" w:rsidRDefault="00725CC3" w:rsidP="0093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sz w:val="24"/>
                <w:szCs w:val="24"/>
              </w:rPr>
              <w:t>70 (1</w:t>
            </w:r>
            <w:r w:rsidR="004E6293" w:rsidRPr="00985C2E">
              <w:rPr>
                <w:rFonts w:ascii="Times New Roman" w:hAnsi="Times New Roman" w:cs="Times New Roman"/>
                <w:sz w:val="24"/>
                <w:szCs w:val="24"/>
              </w:rPr>
              <w:t>-35 баллов)</w:t>
            </w:r>
          </w:p>
        </w:tc>
        <w:tc>
          <w:tcPr>
            <w:tcW w:w="1810" w:type="dxa"/>
          </w:tcPr>
          <w:p w:rsidR="004E6293" w:rsidRPr="00985C2E" w:rsidRDefault="004E6293" w:rsidP="00930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</w:tbl>
    <w:p w:rsidR="00985C2E" w:rsidRDefault="00985C2E" w:rsidP="006160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C1C" w:rsidRPr="00985C2E" w:rsidRDefault="00117C1C" w:rsidP="006160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>Процедура регистрации участников всероссийской олимпиады школьников</w:t>
      </w:r>
    </w:p>
    <w:p w:rsidR="00117C1C" w:rsidRPr="00985C2E" w:rsidRDefault="00117C1C" w:rsidP="00DC7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 xml:space="preserve">Все участники Олимпиады в обязательном порядке </w:t>
      </w:r>
      <w:r w:rsidR="00DC7F02" w:rsidRPr="00985C2E">
        <w:rPr>
          <w:rFonts w:ascii="Times New Roman" w:hAnsi="Times New Roman" w:cs="Times New Roman"/>
          <w:sz w:val="24"/>
          <w:szCs w:val="24"/>
        </w:rPr>
        <w:t xml:space="preserve">проходят процедуру регистрации. </w:t>
      </w:r>
      <w:r w:rsidRPr="00985C2E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85C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5C2E">
        <w:rPr>
          <w:rFonts w:ascii="Times New Roman" w:hAnsi="Times New Roman" w:cs="Times New Roman"/>
          <w:sz w:val="24"/>
          <w:szCs w:val="24"/>
        </w:rPr>
        <w:t xml:space="preserve"> в месте проведения Олимпиады осуществляется Оргкомитетом перед началом ее проведения. При регистрации участники получают информацию о том, в какой аудит</w:t>
      </w:r>
      <w:r w:rsidR="00985C2E">
        <w:rPr>
          <w:rFonts w:ascii="Times New Roman" w:hAnsi="Times New Roman" w:cs="Times New Roman"/>
          <w:sz w:val="24"/>
          <w:szCs w:val="24"/>
        </w:rPr>
        <w:t>ории будет проходить Олимпиада.</w:t>
      </w:r>
    </w:p>
    <w:p w:rsidR="00117C1C" w:rsidRPr="00985C2E" w:rsidRDefault="00797100" w:rsidP="006160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2E">
        <w:rPr>
          <w:rFonts w:ascii="Times New Roman" w:hAnsi="Times New Roman" w:cs="Times New Roman"/>
          <w:b/>
          <w:sz w:val="24"/>
          <w:szCs w:val="24"/>
        </w:rPr>
        <w:t>Процедура разбора заданий, порядок проведения апелляции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lastRenderedPageBreak/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797100" w:rsidRPr="00985C2E" w:rsidRDefault="00797100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C2E">
        <w:rPr>
          <w:rFonts w:ascii="Times New Roman" w:hAnsi="Times New Roman" w:cs="Times New Roman"/>
          <w:sz w:val="24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E230BE" w:rsidRPr="00985C2E" w:rsidRDefault="00E230BE" w:rsidP="00797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30BE" w:rsidRPr="00985C2E" w:rsidSect="00521ACB">
      <w:pgSz w:w="11906" w:h="16838"/>
      <w:pgMar w:top="851" w:right="567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8DE"/>
    <w:rsid w:val="00117589"/>
    <w:rsid w:val="00117C1C"/>
    <w:rsid w:val="001A3D2B"/>
    <w:rsid w:val="00317B56"/>
    <w:rsid w:val="004E6293"/>
    <w:rsid w:val="005051B1"/>
    <w:rsid w:val="00521ACB"/>
    <w:rsid w:val="005B4206"/>
    <w:rsid w:val="006160E2"/>
    <w:rsid w:val="006B0117"/>
    <w:rsid w:val="00725CC3"/>
    <w:rsid w:val="0073362B"/>
    <w:rsid w:val="007478DE"/>
    <w:rsid w:val="00797100"/>
    <w:rsid w:val="007B62B7"/>
    <w:rsid w:val="008C73F5"/>
    <w:rsid w:val="00901768"/>
    <w:rsid w:val="00930DA5"/>
    <w:rsid w:val="00985C2E"/>
    <w:rsid w:val="0099158F"/>
    <w:rsid w:val="00A1399B"/>
    <w:rsid w:val="00A64065"/>
    <w:rsid w:val="00B84B7E"/>
    <w:rsid w:val="00C24DF7"/>
    <w:rsid w:val="00C648D0"/>
    <w:rsid w:val="00DC7F02"/>
    <w:rsid w:val="00E230BE"/>
    <w:rsid w:val="00E74FC1"/>
    <w:rsid w:val="00EA17CC"/>
    <w:rsid w:val="00EC37CF"/>
    <w:rsid w:val="00F8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7530-2185-4CC8-ADE1-3B972AF8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5</cp:revision>
  <dcterms:created xsi:type="dcterms:W3CDTF">2019-06-03T02:34:00Z</dcterms:created>
  <dcterms:modified xsi:type="dcterms:W3CDTF">2019-09-05T03:15:00Z</dcterms:modified>
</cp:coreProperties>
</file>